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ytu"/>
        <w:jc w:val="both"/>
        <w:rPr/>
      </w:pPr>
      <w:r>
        <w:rPr/>
      </w:r>
    </w:p>
    <w:p>
      <w:pPr>
        <w:pStyle w:val="Normal"/>
        <w:jc w:val="both"/>
        <w:rPr/>
      </w:pPr>
      <w:r>
        <w:rPr>
          <w:sz w:val="22"/>
        </w:rPr>
        <w:tab/>
        <w:t xml:space="preserve">Witam w XXV Ankiecie Kolekcjonerów Podstawek Piwnych za 2022 rok. </w:t>
      </w:r>
      <w:r>
        <w:rPr>
          <w:sz w:val="22"/>
        </w:rPr>
        <w:t>To już ćwierćwiecze ankiety, która mimo upływu czasu trwa nadal.</w:t>
      </w:r>
    </w:p>
    <w:p>
      <w:pPr>
        <w:pStyle w:val="Normal"/>
        <w:jc w:val="both"/>
        <w:rPr>
          <w:sz w:val="22"/>
        </w:rPr>
      </w:pPr>
      <w:r>
        <w:rPr>
          <w:sz w:val="22"/>
        </w:rPr>
      </w:r>
    </w:p>
    <w:p>
      <w:pPr>
        <w:pStyle w:val="Normal"/>
        <w:jc w:val="both"/>
        <w:rPr/>
      </w:pPr>
      <w:r>
        <w:rPr>
          <w:sz w:val="22"/>
        </w:rPr>
        <w:t xml:space="preserve">Przypominam zatem zasady. Podstawki zliczamy według z katalogu </w:t>
      </w:r>
      <w:hyperlink r:id="rId2">
        <w:r>
          <w:rPr>
            <w:rStyle w:val="Czeinternetowe"/>
            <w:sz w:val="22"/>
          </w:rPr>
          <w:t>www.katalogpodstawek.pl</w:t>
        </w:r>
      </w:hyperlink>
      <w:r>
        <w:rPr>
          <w:sz w:val="22"/>
        </w:rPr>
        <w:t>, zgodnie ze stanem na 31.12.2022. Kategorie podzielone są na:</w:t>
      </w:r>
    </w:p>
    <w:p>
      <w:pPr>
        <w:pStyle w:val="Normal"/>
        <w:numPr>
          <w:ilvl w:val="0"/>
          <w:numId w:val="1"/>
        </w:numPr>
        <w:ind w:left="709" w:hanging="425"/>
        <w:jc w:val="both"/>
        <w:rPr/>
      </w:pPr>
      <w:r>
        <w:rPr>
          <w:sz w:val="22"/>
        </w:rPr>
        <w:t>Polskie podstawki browarniane, w tym przedwojenne (opublikowane w katalogu po zalogowaniu). Przy danych browarach wpisujemy sumaryczną liczbę podstawek (przed i powojennych), w komórce „w tym sprzed 1945” wpisujemy jedynie przedwojenne sztuki;</w:t>
      </w:r>
    </w:p>
    <w:p>
      <w:pPr>
        <w:pStyle w:val="Normal"/>
        <w:numPr>
          <w:ilvl w:val="0"/>
          <w:numId w:val="1"/>
        </w:numPr>
        <w:ind w:left="709" w:hanging="425"/>
        <w:jc w:val="both"/>
        <w:rPr/>
      </w:pPr>
      <w:r>
        <w:rPr>
          <w:rFonts w:eastAsia="Times New Roman" w:cs="Times New Roman"/>
          <w:i w:val="false"/>
          <w:color w:val="00000A"/>
          <w:kern w:val="0"/>
          <w:sz w:val="22"/>
          <w:szCs w:val="20"/>
          <w:lang w:val="pl-PL" w:eastAsia="pl-PL" w:bidi="ar-SA"/>
        </w:rPr>
        <w:t>Oznaczenie PW przy liście browarów polskich oznacza, że z danego browaru znane są wyłącznie podstawki przedwojenne;</w:t>
      </w:r>
    </w:p>
    <w:p>
      <w:pPr>
        <w:pStyle w:val="Normal"/>
        <w:numPr>
          <w:ilvl w:val="0"/>
          <w:numId w:val="1"/>
        </w:numPr>
        <w:ind w:left="709" w:hanging="425"/>
        <w:jc w:val="both"/>
        <w:rPr/>
      </w:pPr>
      <w:r>
        <w:rPr>
          <w:sz w:val="22"/>
        </w:rPr>
        <w:t>Podstawki z inicjatyw kontraktowych zliczane są pod nazwą danego „browaru kontraktowego” i umieszczone są na końcu formularza; W tym miejscu znajdują się także browary, które zakończyły działalność i obecnie funkcjonują jako kontraktowce.</w:t>
      </w:r>
    </w:p>
    <w:p>
      <w:pPr>
        <w:pStyle w:val="Normal"/>
        <w:numPr>
          <w:ilvl w:val="0"/>
          <w:numId w:val="1"/>
        </w:numPr>
        <w:ind w:left="709" w:hanging="425"/>
        <w:jc w:val="both"/>
        <w:rPr/>
      </w:pPr>
      <w:r>
        <w:rPr>
          <w:sz w:val="22"/>
        </w:rPr>
        <w:t>Browary kontraktowe, które uruchomiły swoje warzelnie przeniesiono do części głównej ankiety.</w:t>
      </w:r>
    </w:p>
    <w:p>
      <w:pPr>
        <w:pStyle w:val="Normal"/>
        <w:numPr>
          <w:ilvl w:val="0"/>
          <w:numId w:val="1"/>
        </w:numPr>
        <w:ind w:left="709" w:hanging="425"/>
        <w:jc w:val="both"/>
        <w:rPr/>
      </w:pPr>
      <w:r>
        <w:rPr>
          <w:sz w:val="22"/>
        </w:rPr>
        <w:t>Przy browarach nie wliczamy podstawek giełdowych, jest na to sumaryczna komórka na końcu ankiety;</w:t>
      </w:r>
    </w:p>
    <w:p>
      <w:pPr>
        <w:pStyle w:val="Normal"/>
        <w:numPr>
          <w:ilvl w:val="0"/>
          <w:numId w:val="1"/>
        </w:numPr>
        <w:ind w:left="709" w:hanging="425"/>
        <w:jc w:val="both"/>
        <w:rPr/>
      </w:pPr>
      <w:r>
        <w:rPr>
          <w:sz w:val="22"/>
        </w:rPr>
        <w:t>Podobnie z podstawkami z browarów domowych, rozlewni piwa oraz knajp;</w:t>
      </w:r>
    </w:p>
    <w:p>
      <w:pPr>
        <w:pStyle w:val="Normal"/>
        <w:numPr>
          <w:ilvl w:val="0"/>
          <w:numId w:val="1"/>
        </w:numPr>
        <w:ind w:left="709" w:hanging="425"/>
        <w:jc w:val="both"/>
        <w:rPr/>
      </w:pPr>
      <w:r>
        <w:rPr>
          <w:sz w:val="22"/>
        </w:rPr>
        <w:t>Cześć zagraniczna znajduje się w osobnej zakładce.</w:t>
      </w:r>
    </w:p>
    <w:p>
      <w:pPr>
        <w:pStyle w:val="Normal"/>
        <w:numPr>
          <w:ilvl w:val="0"/>
          <w:numId w:val="0"/>
        </w:numPr>
        <w:ind w:left="1712" w:hanging="0"/>
        <w:jc w:val="both"/>
        <w:rPr>
          <w:sz w:val="22"/>
        </w:rPr>
      </w:pPr>
      <w:r>
        <w:rPr>
          <w:sz w:val="22"/>
        </w:rPr>
      </w:r>
    </w:p>
    <w:p>
      <w:pPr>
        <w:pStyle w:val="Normal"/>
        <w:ind w:firstLine="708"/>
        <w:jc w:val="both"/>
        <w:rPr>
          <w:sz w:val="22"/>
        </w:rPr>
      </w:pPr>
      <w:r>
        <w:rPr>
          <w:sz w:val="22"/>
        </w:rPr>
      </w:r>
    </w:p>
    <w:p>
      <w:pPr>
        <w:pStyle w:val="Normal"/>
        <w:ind w:firstLine="708"/>
        <w:jc w:val="both"/>
        <w:rPr>
          <w:sz w:val="22"/>
        </w:rPr>
      </w:pPr>
      <w:r>
        <w:rPr>
          <w:sz w:val="22"/>
        </w:rPr>
        <w:t xml:space="preserve">Jak co roku przypominam, że ankieta ma być dla nas zabawą a nie wyścigiem. Każdy z nas zbiera podstawki dla własnej przyjemności oraz często według własnych wytycznych i zasad. Chciałbym jednak aby na użytek niniejszej ankiety zachować jednak wytyczne katalogu internetowego, tak abyśmy łatwiej mogli porównywać nasze wyniki. </w:t>
      </w:r>
    </w:p>
    <w:p>
      <w:pPr>
        <w:pStyle w:val="Tretekstu"/>
        <w:ind w:firstLine="426"/>
        <w:jc w:val="both"/>
        <w:rPr>
          <w:i w:val="false"/>
          <w:i w:val="false"/>
          <w:sz w:val="22"/>
        </w:rPr>
      </w:pPr>
      <w:r>
        <w:rPr>
          <w:i w:val="false"/>
          <w:sz w:val="22"/>
        </w:rPr>
      </w:r>
    </w:p>
    <w:p>
      <w:pPr>
        <w:pStyle w:val="Tretekstu"/>
        <w:jc w:val="both"/>
        <w:rPr/>
      </w:pPr>
      <w:r>
        <w:rPr>
          <w:sz w:val="22"/>
          <w:szCs w:val="22"/>
        </w:rPr>
        <w:tab/>
      </w:r>
      <w:r>
        <w:rPr>
          <w:i w:val="false"/>
          <w:sz w:val="22"/>
          <w:szCs w:val="22"/>
        </w:rPr>
        <w:t xml:space="preserve">Wypełnione formularze proszę wysyłać do mnie do końca stycznia 2023 roku. Osoby, które nie dostarczą w tym terminie mogą nie znaleźć w ostatecznych wynikach. Rozesłanie wyników końcowych planowane jest na luty-marzec 2023. Proszę o nadsyłanie formularzy mailem na adres </w:t>
      </w:r>
      <w:hyperlink r:id="rId3">
        <w:r>
          <w:rPr>
            <w:rStyle w:val="Czeinternetowe"/>
            <w:rFonts w:eastAsia="Times New Roman" w:cs="Times New Roman"/>
            <w:b w:val="false"/>
            <w:bCs w:val="false"/>
            <w:i w:val="false"/>
            <w:color w:val="00000A"/>
            <w:kern w:val="0"/>
            <w:sz w:val="22"/>
            <w:szCs w:val="22"/>
            <w:lang w:val="pl-PL" w:eastAsia="pl-PL" w:bidi="ar-SA"/>
          </w:rPr>
          <w:t>ankieta_podstawek@wp.pl</w:t>
        </w:r>
      </w:hyperlink>
      <w:r>
        <w:rPr>
          <w:rFonts w:eastAsia="Times New Roman" w:cs="Times New Roman"/>
          <w:b w:val="false"/>
          <w:bCs w:val="false"/>
          <w:i w:val="false"/>
          <w:color w:val="00000A"/>
          <w:kern w:val="0"/>
          <w:sz w:val="22"/>
          <w:szCs w:val="22"/>
          <w:lang w:val="pl-PL" w:eastAsia="pl-PL" w:bidi="ar-SA"/>
        </w:rPr>
        <w:t xml:space="preserve"> adres używany w poprzednich latach jest również aktualny.</w:t>
      </w:r>
    </w:p>
    <w:p>
      <w:pPr>
        <w:pStyle w:val="Normal"/>
        <w:widowControl/>
        <w:ind w:left="0" w:right="0" w:hanging="0"/>
        <w:rPr>
          <w:i w:val="false"/>
          <w:i w:val="false"/>
        </w:rPr>
      </w:pPr>
      <w:r>
        <w:rPr>
          <w:i w:val="false"/>
        </w:rPr>
      </w:r>
    </w:p>
    <w:p>
      <w:pPr>
        <w:pStyle w:val="Normal"/>
        <w:jc w:val="both"/>
        <w:rPr>
          <w:sz w:val="22"/>
        </w:rPr>
      </w:pPr>
      <w:r>
        <w:rPr>
          <w:sz w:val="22"/>
        </w:rPr>
        <w:tab/>
        <w:t>Jeśli znasz osoby które zbierają podstawki, a nie było ich w poprzednich edycjach ankiety, bardzo proszę o przesłanie im kopii niniejszego formularza  – dzięki!</w:t>
      </w:r>
    </w:p>
    <w:p>
      <w:pPr>
        <w:pStyle w:val="Normal"/>
        <w:jc w:val="both"/>
        <w:rPr>
          <w:sz w:val="22"/>
        </w:rPr>
      </w:pPr>
      <w:r>
        <w:rPr>
          <w:sz w:val="22"/>
        </w:rPr>
      </w:r>
    </w:p>
    <w:p>
      <w:pPr>
        <w:pStyle w:val="Normal"/>
        <w:tabs>
          <w:tab w:val="left" w:pos="7797" w:leader="none"/>
        </w:tabs>
        <w:ind w:right="1468" w:hanging="0"/>
        <w:jc w:val="right"/>
        <w:rPr>
          <w:sz w:val="22"/>
        </w:rPr>
      </w:pPr>
      <w:r>
        <w:rPr>
          <w:sz w:val="22"/>
        </w:rPr>
        <w:t>Z piwnym pozdrowieniem</w:t>
      </w:r>
    </w:p>
    <w:p>
      <w:pPr>
        <w:pStyle w:val="Normal"/>
        <w:tabs>
          <w:tab w:val="left" w:pos="7797" w:leader="none"/>
        </w:tabs>
        <w:ind w:right="1468" w:hanging="0"/>
        <w:jc w:val="right"/>
        <w:rPr/>
      </w:pPr>
      <w:r>
        <w:rPr>
          <w:sz w:val="22"/>
        </w:rPr>
        <w:t>gb</w:t>
      </w:r>
    </w:p>
    <w:sectPr>
      <w:type w:val="nextPage"/>
      <w:pgSz w:w="12240" w:h="15840"/>
      <w:pgMar w:left="1417" w:right="1417" w:header="0" w:top="709" w:footer="0" w:bottom="70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Bookman Old Style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  <w:sz w:val="22"/>
        <w:rFonts w:cs="Symbol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false"/>
  <w:compat>
    <w:compatSetting w:name="compatibilityMode" w:uri="http://schemas.microsoft.com/office/word" w:val="1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Cs w:val="22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f05b69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pl-PL" w:eastAsia="pl-PL" w:bidi="ar-SA"/>
    </w:rPr>
  </w:style>
  <w:style w:type="paragraph" w:styleId="Nagwek1">
    <w:name w:val="Heading 1"/>
    <w:basedOn w:val="Normal"/>
    <w:link w:val="Nagwek1Znak"/>
    <w:uiPriority w:val="99"/>
    <w:qFormat/>
    <w:rsid w:val="00f05b69"/>
    <w:pPr>
      <w:keepNext w:val="true"/>
      <w:jc w:val="center"/>
      <w:outlineLvl w:val="0"/>
    </w:pPr>
    <w:rPr>
      <w:b/>
      <w:i/>
      <w:sz w:val="24"/>
    </w:rPr>
  </w:style>
  <w:style w:type="paragraph" w:styleId="Nagwek2">
    <w:name w:val="Heading 2"/>
    <w:basedOn w:val="Normal"/>
    <w:link w:val="Nagwek2Znak"/>
    <w:uiPriority w:val="99"/>
    <w:qFormat/>
    <w:rsid w:val="00f05b69"/>
    <w:pPr>
      <w:keepNext w:val="true"/>
      <w:jc w:val="center"/>
      <w:outlineLvl w:val="1"/>
    </w:pPr>
    <w:rPr>
      <w:rFonts w:ascii="Bookman Old Style" w:hAnsi="Bookman Old Style"/>
      <w:b/>
      <w:sz w:val="16"/>
    </w:rPr>
  </w:style>
  <w:style w:type="paragraph" w:styleId="Nagwek3">
    <w:name w:val="Heading 3"/>
    <w:basedOn w:val="Normal"/>
    <w:link w:val="Nagwek3Znak"/>
    <w:uiPriority w:val="99"/>
    <w:qFormat/>
    <w:rsid w:val="00f05b69"/>
    <w:pPr>
      <w:keepNext w:val="true"/>
      <w:outlineLvl w:val="2"/>
    </w:pPr>
    <w:rPr>
      <w:rFonts w:ascii="Bookman Old Style" w:hAnsi="Bookman Old Style"/>
      <w:b/>
      <w:sz w:val="1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"/>
    <w:uiPriority w:val="99"/>
    <w:qFormat/>
    <w:locked/>
    <w:rsid w:val="00876063"/>
    <w:rPr>
      <w:rFonts w:ascii="Cambria" w:hAnsi="Cambria" w:cs="Times New Roman"/>
      <w:b/>
      <w:bCs/>
      <w:kern w:val="2"/>
      <w:sz w:val="32"/>
      <w:szCs w:val="32"/>
    </w:rPr>
  </w:style>
  <w:style w:type="character" w:styleId="Nagwek2Znak" w:customStyle="1">
    <w:name w:val="Nagłówek 2 Znak"/>
    <w:basedOn w:val="DefaultParagraphFont"/>
    <w:link w:val="Nagwek2"/>
    <w:uiPriority w:val="99"/>
    <w:semiHidden/>
    <w:qFormat/>
    <w:locked/>
    <w:rsid w:val="00876063"/>
    <w:rPr>
      <w:rFonts w:ascii="Cambria" w:hAnsi="Cambria" w:cs="Times New Roman"/>
      <w:b/>
      <w:bCs/>
      <w:i/>
      <w:iCs/>
      <w:sz w:val="28"/>
      <w:szCs w:val="28"/>
    </w:rPr>
  </w:style>
  <w:style w:type="character" w:styleId="Nagwek3Znak" w:customStyle="1">
    <w:name w:val="Nagłówek 3 Znak"/>
    <w:basedOn w:val="DefaultParagraphFont"/>
    <w:link w:val="Nagwek3"/>
    <w:uiPriority w:val="99"/>
    <w:semiHidden/>
    <w:qFormat/>
    <w:locked/>
    <w:rsid w:val="00876063"/>
    <w:rPr>
      <w:rFonts w:ascii="Cambria" w:hAnsi="Cambria" w:cs="Times New Roman"/>
      <w:b/>
      <w:bCs/>
      <w:sz w:val="26"/>
      <w:szCs w:val="26"/>
    </w:rPr>
  </w:style>
  <w:style w:type="character" w:styleId="WWDomylnaczcionkaakapitu" w:customStyle="1">
    <w:name w:val="WW-Domyślna czcionka akapitu"/>
    <w:uiPriority w:val="99"/>
    <w:qFormat/>
    <w:rsid w:val="00f05b69"/>
    <w:rPr/>
  </w:style>
  <w:style w:type="character" w:styleId="WWAbsatzStandardschriftart" w:customStyle="1">
    <w:name w:val="WW-Absatz-Standardschriftart"/>
    <w:uiPriority w:val="99"/>
    <w:qFormat/>
    <w:rsid w:val="00f05b69"/>
    <w:rPr/>
  </w:style>
  <w:style w:type="character" w:styleId="WWAbsatzStandardschriftart1" w:customStyle="1">
    <w:name w:val="WW-Absatz-Standardschriftart1"/>
    <w:uiPriority w:val="99"/>
    <w:qFormat/>
    <w:rsid w:val="00f05b69"/>
    <w:rPr/>
  </w:style>
  <w:style w:type="character" w:styleId="WWAbsatzStandardschriftart11" w:customStyle="1">
    <w:name w:val="WW-Absatz-Standardschriftart11"/>
    <w:uiPriority w:val="99"/>
    <w:qFormat/>
    <w:rsid w:val="00f05b69"/>
    <w:rPr/>
  </w:style>
  <w:style w:type="character" w:styleId="WWAbsatzStandardschriftart111" w:customStyle="1">
    <w:name w:val="WW-Absatz-Standardschriftart111"/>
    <w:uiPriority w:val="99"/>
    <w:qFormat/>
    <w:rsid w:val="00f05b69"/>
    <w:rPr/>
  </w:style>
  <w:style w:type="character" w:styleId="WWDomylnaczcionkaakapitu1" w:customStyle="1">
    <w:name w:val="WW-Domyślna czcionka akapitu1"/>
    <w:uiPriority w:val="99"/>
    <w:qFormat/>
    <w:rsid w:val="00f05b69"/>
    <w:rPr/>
  </w:style>
  <w:style w:type="character" w:styleId="Czeinternetowe">
    <w:name w:val="Łącze internetowe"/>
    <w:basedOn w:val="WWDomylnaczcionkaakapitu1"/>
    <w:uiPriority w:val="99"/>
    <w:semiHidden/>
    <w:rsid w:val="00f05b69"/>
    <w:rPr>
      <w:rFonts w:cs="Times New Roman"/>
      <w:color w:val="0000FF"/>
      <w:u w:val="single"/>
    </w:rPr>
  </w:style>
  <w:style w:type="character" w:styleId="TytuZnak" w:customStyle="1">
    <w:name w:val="Tytuł Znak"/>
    <w:basedOn w:val="DefaultParagraphFont"/>
    <w:link w:val="Tytu"/>
    <w:uiPriority w:val="99"/>
    <w:qFormat/>
    <w:locked/>
    <w:rsid w:val="00876063"/>
    <w:rPr>
      <w:rFonts w:ascii="Cambria" w:hAnsi="Cambria" w:cs="Times New Roman"/>
      <w:b/>
      <w:bCs/>
      <w:kern w:val="2"/>
      <w:sz w:val="32"/>
      <w:szCs w:val="32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locked/>
    <w:rsid w:val="00876063"/>
    <w:rPr>
      <w:rFonts w:cs="Times New Roman"/>
      <w:sz w:val="20"/>
      <w:szCs w:val="20"/>
    </w:rPr>
  </w:style>
  <w:style w:type="character" w:styleId="PodtytuZnak" w:customStyle="1">
    <w:name w:val="Podtytuł Znak"/>
    <w:basedOn w:val="DefaultParagraphFont"/>
    <w:link w:val="Podtytu"/>
    <w:uiPriority w:val="99"/>
    <w:qFormat/>
    <w:locked/>
    <w:rsid w:val="00876063"/>
    <w:rPr>
      <w:rFonts w:ascii="Cambria" w:hAnsi="Cambria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1355ff"/>
    <w:rPr>
      <w:color w:val="808080"/>
      <w:shd w:fill="E6E6E6" w:val="clear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sz w:val="22"/>
    </w:rPr>
  </w:style>
  <w:style w:type="character" w:styleId="ListLabel23">
    <w:name w:val="ListLabel 23"/>
    <w:qFormat/>
    <w:rPr>
      <w:sz w:val="22"/>
      <w:szCs w:val="22"/>
    </w:rPr>
  </w:style>
  <w:style w:type="character" w:styleId="ListLabel24">
    <w:name w:val="ListLabel 24"/>
    <w:qFormat/>
    <w:rPr>
      <w:rFonts w:cs="Symbol"/>
      <w:sz w:val="22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Wingdings"/>
    </w:rPr>
  </w:style>
  <w:style w:type="character" w:styleId="ListLabel27">
    <w:name w:val="ListLabel 27"/>
    <w:qFormat/>
    <w:rPr>
      <w:rFonts w:cs="Symbol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Wingdings"/>
    </w:rPr>
  </w:style>
  <w:style w:type="character" w:styleId="ListLabel30">
    <w:name w:val="ListLabel 30"/>
    <w:qFormat/>
    <w:rPr>
      <w:rFonts w:cs="Symbol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Wingdings"/>
    </w:rPr>
  </w:style>
  <w:style w:type="character" w:styleId="ListLabel33">
    <w:name w:val="ListLabel 33"/>
    <w:qFormat/>
    <w:rPr>
      <w:sz w:val="22"/>
    </w:rPr>
  </w:style>
  <w:style w:type="character" w:styleId="ListLabel34">
    <w:name w:val="ListLabel 34"/>
    <w:qFormat/>
    <w:rPr>
      <w:sz w:val="22"/>
      <w:szCs w:val="22"/>
    </w:rPr>
  </w:style>
  <w:style w:type="character" w:styleId="ListLabel35">
    <w:name w:val="ListLabel 35"/>
    <w:qFormat/>
    <w:rPr>
      <w:rFonts w:cs="Symbol"/>
      <w:sz w:val="22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Wingdings"/>
    </w:rPr>
  </w:style>
  <w:style w:type="character" w:styleId="ListLabel38">
    <w:name w:val="ListLabel 38"/>
    <w:qFormat/>
    <w:rPr>
      <w:rFonts w:cs="Symbol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Wingdings"/>
    </w:rPr>
  </w:style>
  <w:style w:type="character" w:styleId="ListLabel41">
    <w:name w:val="ListLabel 41"/>
    <w:qFormat/>
    <w:rPr>
      <w:rFonts w:cs="Symbol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Wingdings"/>
    </w:rPr>
  </w:style>
  <w:style w:type="character" w:styleId="ListLabel44">
    <w:name w:val="ListLabel 44"/>
    <w:qFormat/>
    <w:rPr>
      <w:sz w:val="22"/>
    </w:rPr>
  </w:style>
  <w:style w:type="character" w:styleId="ListLabel45">
    <w:name w:val="ListLabel 45"/>
    <w:qFormat/>
    <w:rPr>
      <w:sz w:val="22"/>
      <w:szCs w:val="22"/>
    </w:rPr>
  </w:style>
  <w:style w:type="character" w:styleId="ListLabel46">
    <w:name w:val="ListLabel 46"/>
    <w:qFormat/>
    <w:rPr>
      <w:rFonts w:cs="Symbol"/>
      <w:sz w:val="22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Wingdings"/>
    </w:rPr>
  </w:style>
  <w:style w:type="character" w:styleId="ListLabel49">
    <w:name w:val="ListLabel 49"/>
    <w:qFormat/>
    <w:rPr>
      <w:rFonts w:cs="Symbol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Wingdings"/>
    </w:rPr>
  </w:style>
  <w:style w:type="character" w:styleId="ListLabel52">
    <w:name w:val="ListLabel 52"/>
    <w:qFormat/>
    <w:rPr>
      <w:rFonts w:cs="Symbol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Wingdings"/>
    </w:rPr>
  </w:style>
  <w:style w:type="character" w:styleId="ListLabel55">
    <w:name w:val="ListLabel 55"/>
    <w:qFormat/>
    <w:rPr>
      <w:sz w:val="22"/>
    </w:rPr>
  </w:style>
  <w:style w:type="character" w:styleId="ListLabel56">
    <w:name w:val="ListLabel 56"/>
    <w:qFormat/>
    <w:rPr>
      <w:sz w:val="22"/>
      <w:szCs w:val="22"/>
    </w:rPr>
  </w:style>
  <w:style w:type="character" w:styleId="ListLabel57">
    <w:name w:val="ListLabel 57"/>
    <w:qFormat/>
    <w:rPr>
      <w:rFonts w:cs="Symbol"/>
      <w:sz w:val="22"/>
    </w:rPr>
  </w:style>
  <w:style w:type="character" w:styleId="ListLabel58">
    <w:name w:val="ListLabel 58"/>
    <w:qFormat/>
    <w:rPr>
      <w:rFonts w:cs="Courier New"/>
    </w:rPr>
  </w:style>
  <w:style w:type="character" w:styleId="ListLabel59">
    <w:name w:val="ListLabel 59"/>
    <w:qFormat/>
    <w:rPr>
      <w:rFonts w:cs="Wingdings"/>
    </w:rPr>
  </w:style>
  <w:style w:type="character" w:styleId="ListLabel60">
    <w:name w:val="ListLabel 60"/>
    <w:qFormat/>
    <w:rPr>
      <w:rFonts w:cs="Symbol"/>
    </w:rPr>
  </w:style>
  <w:style w:type="character" w:styleId="ListLabel61">
    <w:name w:val="ListLabel 61"/>
    <w:qFormat/>
    <w:rPr>
      <w:rFonts w:cs="Courier New"/>
    </w:rPr>
  </w:style>
  <w:style w:type="character" w:styleId="ListLabel62">
    <w:name w:val="ListLabel 62"/>
    <w:qFormat/>
    <w:rPr>
      <w:rFonts w:cs="Wingdings"/>
    </w:rPr>
  </w:style>
  <w:style w:type="character" w:styleId="ListLabel63">
    <w:name w:val="ListLabel 63"/>
    <w:qFormat/>
    <w:rPr>
      <w:rFonts w:cs="Symbol"/>
    </w:rPr>
  </w:style>
  <w:style w:type="character" w:styleId="ListLabel64">
    <w:name w:val="ListLabel 64"/>
    <w:qFormat/>
    <w:rPr>
      <w:rFonts w:cs="Courier New"/>
    </w:rPr>
  </w:style>
  <w:style w:type="character" w:styleId="ListLabel65">
    <w:name w:val="ListLabel 65"/>
    <w:qFormat/>
    <w:rPr>
      <w:rFonts w:cs="Wingdings"/>
    </w:rPr>
  </w:style>
  <w:style w:type="character" w:styleId="ListLabel66">
    <w:name w:val="ListLabel 66"/>
    <w:qFormat/>
    <w:rPr>
      <w:sz w:val="22"/>
    </w:rPr>
  </w:style>
  <w:style w:type="character" w:styleId="ListLabel67">
    <w:name w:val="ListLabel 67"/>
    <w:qFormat/>
    <w:rPr>
      <w:rFonts w:eastAsia="Times New Roman" w:cs="Times New Roman"/>
      <w:b w:val="false"/>
      <w:bCs w:val="false"/>
      <w:i w:val="false"/>
      <w:color w:val="00000A"/>
      <w:kern w:val="0"/>
      <w:sz w:val="22"/>
      <w:szCs w:val="22"/>
      <w:lang w:val="pl-PL" w:eastAsia="pl-PL" w:bidi="ar-SA"/>
    </w:rPr>
  </w:style>
  <w:style w:type="character" w:styleId="ListLabel68">
    <w:name w:val="ListLabel 68"/>
    <w:qFormat/>
    <w:rPr>
      <w:rFonts w:cs="Symbol"/>
      <w:sz w:val="22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Wingdings"/>
    </w:rPr>
  </w:style>
  <w:style w:type="character" w:styleId="ListLabel71">
    <w:name w:val="ListLabel 71"/>
    <w:qFormat/>
    <w:rPr>
      <w:rFonts w:cs="Symbol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Wingdings"/>
    </w:rPr>
  </w:style>
  <w:style w:type="character" w:styleId="ListLabel74">
    <w:name w:val="ListLabel 74"/>
    <w:qFormat/>
    <w:rPr>
      <w:rFonts w:cs="Symbol"/>
    </w:rPr>
  </w:style>
  <w:style w:type="character" w:styleId="ListLabel75">
    <w:name w:val="ListLabel 75"/>
    <w:qFormat/>
    <w:rPr>
      <w:rFonts w:cs="Courier New"/>
    </w:rPr>
  </w:style>
  <w:style w:type="character" w:styleId="ListLabel76">
    <w:name w:val="ListLabel 76"/>
    <w:qFormat/>
    <w:rPr>
      <w:rFonts w:cs="Wingdings"/>
    </w:rPr>
  </w:style>
  <w:style w:type="character" w:styleId="ListLabel77">
    <w:name w:val="ListLabel 77"/>
    <w:qFormat/>
    <w:rPr>
      <w:sz w:val="22"/>
    </w:rPr>
  </w:style>
  <w:style w:type="character" w:styleId="ListLabel78">
    <w:name w:val="ListLabel 78"/>
    <w:qFormat/>
    <w:rPr>
      <w:rFonts w:eastAsia="Times New Roman" w:cs="Times New Roman"/>
      <w:b w:val="false"/>
      <w:bCs w:val="false"/>
      <w:i w:val="false"/>
      <w:color w:val="00000A"/>
      <w:kern w:val="0"/>
      <w:sz w:val="22"/>
      <w:szCs w:val="22"/>
      <w:lang w:val="pl-PL" w:eastAsia="pl-PL" w:bidi="ar-SA"/>
    </w:rPr>
  </w:style>
  <w:style w:type="character" w:styleId="ListLabel79">
    <w:name w:val="ListLabel 79"/>
    <w:qFormat/>
    <w:rPr>
      <w:rFonts w:cs="Symbol"/>
      <w:sz w:val="22"/>
    </w:rPr>
  </w:style>
  <w:style w:type="character" w:styleId="ListLabel80">
    <w:name w:val="ListLabel 80"/>
    <w:qFormat/>
    <w:rPr>
      <w:rFonts w:cs="Courier New"/>
    </w:rPr>
  </w:style>
  <w:style w:type="character" w:styleId="ListLabel81">
    <w:name w:val="ListLabel 81"/>
    <w:qFormat/>
    <w:rPr>
      <w:rFonts w:cs="Wingdings"/>
    </w:rPr>
  </w:style>
  <w:style w:type="character" w:styleId="ListLabel82">
    <w:name w:val="ListLabel 82"/>
    <w:qFormat/>
    <w:rPr>
      <w:rFonts w:cs="Symbol"/>
    </w:rPr>
  </w:style>
  <w:style w:type="character" w:styleId="ListLabel83">
    <w:name w:val="ListLabel 83"/>
    <w:qFormat/>
    <w:rPr>
      <w:rFonts w:cs="Courier New"/>
    </w:rPr>
  </w:style>
  <w:style w:type="character" w:styleId="ListLabel84">
    <w:name w:val="ListLabel 84"/>
    <w:qFormat/>
    <w:rPr>
      <w:rFonts w:cs="Wingdings"/>
    </w:rPr>
  </w:style>
  <w:style w:type="character" w:styleId="ListLabel85">
    <w:name w:val="ListLabel 85"/>
    <w:qFormat/>
    <w:rPr>
      <w:rFonts w:cs="Symbol"/>
    </w:rPr>
  </w:style>
  <w:style w:type="character" w:styleId="ListLabel86">
    <w:name w:val="ListLabel 86"/>
    <w:qFormat/>
    <w:rPr>
      <w:rFonts w:cs="Courier New"/>
    </w:rPr>
  </w:style>
  <w:style w:type="character" w:styleId="ListLabel87">
    <w:name w:val="ListLabel 87"/>
    <w:qFormat/>
    <w:rPr>
      <w:rFonts w:cs="Wingdings"/>
    </w:rPr>
  </w:style>
  <w:style w:type="character" w:styleId="ListLabel88">
    <w:name w:val="ListLabel 88"/>
    <w:qFormat/>
    <w:rPr>
      <w:sz w:val="22"/>
    </w:rPr>
  </w:style>
  <w:style w:type="character" w:styleId="ListLabel89">
    <w:name w:val="ListLabel 89"/>
    <w:qFormat/>
    <w:rPr>
      <w:rFonts w:eastAsia="Times New Roman" w:cs="Times New Roman"/>
      <w:b w:val="false"/>
      <w:bCs w:val="false"/>
      <w:i w:val="false"/>
      <w:color w:val="00000A"/>
      <w:kern w:val="0"/>
      <w:sz w:val="22"/>
      <w:szCs w:val="22"/>
      <w:lang w:val="pl-PL" w:eastAsia="pl-PL"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rsid w:val="00f05b69"/>
    <w:pPr/>
    <w:rPr>
      <w:i/>
      <w:sz w:val="24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ytu">
    <w:name w:val="Title"/>
    <w:basedOn w:val="Normal"/>
    <w:link w:val="TytuZnak"/>
    <w:uiPriority w:val="99"/>
    <w:qFormat/>
    <w:rsid w:val="00f05b69"/>
    <w:pPr>
      <w:jc w:val="center"/>
    </w:pPr>
    <w:rPr>
      <w:i/>
      <w:sz w:val="24"/>
    </w:rPr>
  </w:style>
  <w:style w:type="paragraph" w:styleId="Podtytu">
    <w:name w:val="Subtitle"/>
    <w:basedOn w:val="Tytu"/>
    <w:link w:val="PodtytuZnak"/>
    <w:uiPriority w:val="99"/>
    <w:qFormat/>
    <w:rsid w:val="00f05b69"/>
    <w:pPr/>
    <w:rPr>
      <w:sz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39124e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katalogpodstawek.pl/" TargetMode="External"/><Relationship Id="rId3" Type="http://schemas.openxmlformats.org/officeDocument/2006/relationships/hyperlink" Target="mailto:ankieta_podstawek@wp.pl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Application>LibreOffice/6.0.2.1$Windows_x86 LibreOffice_project/f7f06a8f319e4b62f9bc5095aa112a65d2f3ac89</Application>
  <Pages>1</Pages>
  <Words>289</Words>
  <Characters>1780</Characters>
  <CharactersWithSpaces>2054</CharactersWithSpaces>
  <Paragraphs>14</Paragraphs>
  <Company>BTH Cewok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2011-12-16T20:12:00Z</dcterms:created>
  <dc:creator/>
  <dc:description/>
  <dc:language>pl-PL</dc:language>
  <cp:lastModifiedBy/>
  <cp:lastPrinted>2017-12-29T22:20:00Z</cp:lastPrinted>
  <dcterms:modified xsi:type="dcterms:W3CDTF">2023-01-02T16:50:38Z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BTH Cewok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